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年1月伊犁州和各县、市专利授权和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年1月伊犁州专利授权状况表</w:t>
            </w:r>
          </w:p>
          <w:p>
            <w:pPr>
              <w:pStyle w:val="2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lang w:eastAsia="zh-CN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 w:val="24"/>
                <w:lang w:eastAsia="zh-CN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98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6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年1月伊犁州有效专利状况表</w:t>
      </w:r>
    </w:p>
    <w:p>
      <w:pPr>
        <w:pStyle w:val="2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355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cs="宋体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144" w:tblpY="336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年1月各县市专利授权状况表</w:t>
            </w:r>
          </w:p>
          <w:p>
            <w:pPr>
              <w:widowControl/>
              <w:jc w:val="right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Cs/>
                <w:sz w:val="24"/>
                <w:lang w:val="en-US" w:eastAsia="zh-CN"/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119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119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lang w:eastAsia="zh-CN"/>
              </w:rPr>
              <w:t>10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托力肯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p>
      <w:pPr>
        <w:pStyle w:val="2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spacing w:line="56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pStyle w:val="2"/>
        <w:ind w:left="0" w:leftChars="0" w:firstLine="0" w:firstLineChars="0"/>
        <w:jc w:val="both"/>
        <w:rPr>
          <w:rFonts w:hint="eastAsia"/>
        </w:rPr>
      </w:pPr>
    </w:p>
    <w:p>
      <w:pPr>
        <w:pStyle w:val="2"/>
        <w:ind w:left="0" w:leftChars="0" w:firstLine="0" w:firstLineChars="0"/>
        <w:jc w:val="both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5300345" cy="3564255"/>
            <wp:effectExtent l="5080" t="4445" r="9525" b="1270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orbe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12C010F7"/>
    <w:rsid w:val="161B2646"/>
    <w:rsid w:val="1CAE30BC"/>
    <w:rsid w:val="1EF7A785"/>
    <w:rsid w:val="1FED9E97"/>
    <w:rsid w:val="2C3806F6"/>
    <w:rsid w:val="2FEB0032"/>
    <w:rsid w:val="37FFAE16"/>
    <w:rsid w:val="3F36192F"/>
    <w:rsid w:val="40A54738"/>
    <w:rsid w:val="4CA57CD8"/>
    <w:rsid w:val="502A21B0"/>
    <w:rsid w:val="5CB965FF"/>
    <w:rsid w:val="5EBFFBE5"/>
    <w:rsid w:val="5F25D5B9"/>
    <w:rsid w:val="61BFA6BB"/>
    <w:rsid w:val="6BBE7573"/>
    <w:rsid w:val="74BD753F"/>
    <w:rsid w:val="7BFF76E3"/>
    <w:rsid w:val="7D7D8BDB"/>
    <w:rsid w:val="7DBD0987"/>
    <w:rsid w:val="7EB30B68"/>
    <w:rsid w:val="7FEB1812"/>
    <w:rsid w:val="8B729714"/>
    <w:rsid w:val="BF7F12C0"/>
    <w:rsid w:val="CEFBB422"/>
    <w:rsid w:val="DEBD9BE4"/>
    <w:rsid w:val="DF17FD18"/>
    <w:rsid w:val="DFDD3072"/>
    <w:rsid w:val="E7ED31C6"/>
    <w:rsid w:val="F5ADB85F"/>
    <w:rsid w:val="F5FD6D7E"/>
    <w:rsid w:val="F7EFFD38"/>
    <w:rsid w:val="FFF7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 sz="1500"/>
              <a:t>2025</a:t>
            </a:r>
            <a:r>
              <a:rPr altLang="en-US" sz="1500"/>
              <a:t>年</a:t>
            </a:r>
            <a:r>
              <a:rPr lang="en-US" altLang="zh-CN" sz="1500"/>
              <a:t>1</a:t>
            </a:r>
            <a:r>
              <a:rPr altLang="en-US" sz="1500"/>
              <a:t>月伊犁州各县市专利授权状况图表</a:t>
            </a:r>
            <a:r>
              <a:rPr lang="en-US" altLang="zh-CN" sz="1500"/>
              <a:t> </a:t>
            </a:r>
            <a:endParaRPr lang="en-US" altLang="zh-CN" sz="1500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月合计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伊宁市</c:v>
                </c:pt>
                <c:pt idx="1">
                  <c:v>奎屯市</c:v>
                </c:pt>
                <c:pt idx="2">
                  <c:v>伊宁县</c:v>
                </c:pt>
                <c:pt idx="3">
                  <c:v>巩留县</c:v>
                </c:pt>
                <c:pt idx="4">
                  <c:v>尼勒克县</c:v>
                </c:pt>
                <c:pt idx="5">
                  <c:v>特克斯县</c:v>
                </c:pt>
                <c:pt idx="6">
                  <c:v>昭苏县</c:v>
                </c:pt>
                <c:pt idx="7">
                  <c:v>新源县</c:v>
                </c:pt>
                <c:pt idx="8">
                  <c:v>察布查尔县</c:v>
                </c:pt>
                <c:pt idx="9">
                  <c:v>霍城县</c:v>
                </c:pt>
                <c:pt idx="10">
                  <c:v>霍尔果斯口岸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20</c:v>
                </c:pt>
                <c:pt idx="1">
                  <c:v>17</c:v>
                </c:pt>
                <c:pt idx="2">
                  <c:v>13</c:v>
                </c:pt>
                <c:pt idx="3">
                  <c:v>7</c:v>
                </c:pt>
                <c:pt idx="4">
                  <c:v>4</c:v>
                </c:pt>
                <c:pt idx="5">
                  <c:v>6</c:v>
                </c:pt>
                <c:pt idx="6">
                  <c:v>1</c:v>
                </c:pt>
                <c:pt idx="7">
                  <c:v>12</c:v>
                </c:pt>
                <c:pt idx="8">
                  <c:v>5</c:v>
                </c:pt>
                <c:pt idx="9">
                  <c:v>12</c:v>
                </c:pt>
                <c:pt idx="10">
                  <c:v>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发明专利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伊宁市</c:v>
                </c:pt>
                <c:pt idx="1">
                  <c:v>奎屯市</c:v>
                </c:pt>
                <c:pt idx="2">
                  <c:v>伊宁县</c:v>
                </c:pt>
                <c:pt idx="3">
                  <c:v>巩留县</c:v>
                </c:pt>
                <c:pt idx="4">
                  <c:v>尼勒克县</c:v>
                </c:pt>
                <c:pt idx="5">
                  <c:v>特克斯县</c:v>
                </c:pt>
                <c:pt idx="6">
                  <c:v>昭苏县</c:v>
                </c:pt>
                <c:pt idx="7">
                  <c:v>新源县</c:v>
                </c:pt>
                <c:pt idx="8">
                  <c:v>察布查尔县</c:v>
                </c:pt>
                <c:pt idx="9">
                  <c:v>霍城县</c:v>
                </c:pt>
                <c:pt idx="10">
                  <c:v>霍尔果斯口岸</c:v>
                </c:pt>
              </c:strCache>
            </c:str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实用新型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伊宁市</c:v>
                </c:pt>
                <c:pt idx="1">
                  <c:v>奎屯市</c:v>
                </c:pt>
                <c:pt idx="2">
                  <c:v>伊宁县</c:v>
                </c:pt>
                <c:pt idx="3">
                  <c:v>巩留县</c:v>
                </c:pt>
                <c:pt idx="4">
                  <c:v>尼勒克县</c:v>
                </c:pt>
                <c:pt idx="5">
                  <c:v>特克斯县</c:v>
                </c:pt>
                <c:pt idx="6">
                  <c:v>昭苏县</c:v>
                </c:pt>
                <c:pt idx="7">
                  <c:v>新源县</c:v>
                </c:pt>
                <c:pt idx="8">
                  <c:v>察布查尔县</c:v>
                </c:pt>
                <c:pt idx="9">
                  <c:v>霍城县</c:v>
                </c:pt>
                <c:pt idx="10">
                  <c:v>霍尔果斯口岸</c:v>
                </c:pt>
              </c:strCache>
            </c:strRef>
          </c:cat>
          <c:val>
            <c:numRef>
              <c:f>Sheet1!$D$2:$D$12</c:f>
              <c:numCache>
                <c:formatCode>General</c:formatCode>
                <c:ptCount val="11"/>
                <c:pt idx="0">
                  <c:v>15</c:v>
                </c:pt>
                <c:pt idx="1">
                  <c:v>14</c:v>
                </c:pt>
                <c:pt idx="2">
                  <c:v>13</c:v>
                </c:pt>
                <c:pt idx="3">
                  <c:v>5</c:v>
                </c:pt>
                <c:pt idx="4">
                  <c:v>4</c:v>
                </c:pt>
                <c:pt idx="5">
                  <c:v>6</c:v>
                </c:pt>
                <c:pt idx="6">
                  <c:v>1</c:v>
                </c:pt>
                <c:pt idx="7">
                  <c:v>12</c:v>
                </c:pt>
                <c:pt idx="8">
                  <c:v>5</c:v>
                </c:pt>
                <c:pt idx="9">
                  <c:v>11</c:v>
                </c:pt>
                <c:pt idx="10">
                  <c:v>22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外观设计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delete val="1"/>
          </c:dLbls>
          <c:cat>
            <c:strRef>
              <c:f>Sheet1!$A$2:$A$12</c:f>
              <c:strCache>
                <c:ptCount val="11"/>
                <c:pt idx="0">
                  <c:v>伊宁市</c:v>
                </c:pt>
                <c:pt idx="1">
                  <c:v>奎屯市</c:v>
                </c:pt>
                <c:pt idx="2">
                  <c:v>伊宁县</c:v>
                </c:pt>
                <c:pt idx="3">
                  <c:v>巩留县</c:v>
                </c:pt>
                <c:pt idx="4">
                  <c:v>尼勒克县</c:v>
                </c:pt>
                <c:pt idx="5">
                  <c:v>特克斯县</c:v>
                </c:pt>
                <c:pt idx="6">
                  <c:v>昭苏县</c:v>
                </c:pt>
                <c:pt idx="7">
                  <c:v>新源县</c:v>
                </c:pt>
                <c:pt idx="8">
                  <c:v>察布查尔县</c:v>
                </c:pt>
                <c:pt idx="9">
                  <c:v>霍城县</c:v>
                </c:pt>
                <c:pt idx="10">
                  <c:v>霍尔果斯口岸</c:v>
                </c:pt>
              </c:strCache>
            </c:strRef>
          </c:cat>
          <c:val>
            <c:numRef>
              <c:f>Sheet1!$E$2:$E$12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0"/>
        <c:axId val="874663747"/>
        <c:axId val="183901637"/>
      </c:barChart>
      <c:catAx>
        <c:axId val="874663747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83901637"/>
        <c:crosses val="autoZero"/>
        <c:auto val="1"/>
        <c:lblAlgn val="ctr"/>
        <c:lblOffset val="100"/>
        <c:noMultiLvlLbl val="0"/>
      </c:catAx>
      <c:valAx>
        <c:axId val="183901637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0" spcFirstLastPara="0" vertOverflow="ellipsis" vert="eaVert" wrap="square" anchor="ctr" anchorCtr="1"/>
              <a:lstStyle/>
              <a:p>
                <a:pPr defTabSz="914400">
                  <a:defRPr lang="zh-CN"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sz="1200"/>
                  <a:t>专利授权量（件）</a:t>
                </a:r>
                <a:endParaRPr sz="1200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7466374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dk1">
                <a:lumMod val="35000"/>
                <a:lumOff val="65000"/>
              </a:schemeClr>
            </a:solidFill>
          </a:ln>
          <a:effectLst/>
        </c:spPr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2021-03-23T04:27:00Z</dcterms:created>
  <dc:creator>林燕鹏</dc:creator>
  <cp:lastModifiedBy>托力肯</cp:lastModifiedBy>
  <cp:lastPrinted>2021-10-01T04:04:00Z</cp:lastPrinted>
  <dcterms:modified xsi:type="dcterms:W3CDTF">2025-03-13T17:05:11Z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2052-11.8.2.12125</vt:lpwstr>
  </property>
  <property fmtid="{D5CDD505-2E9C-101B-9397-08002B2CF9AE}" pid="3" name="ICV">
    <vt:lpwstr>473A078D202EE5B30ABA4E662D389E57</vt:lpwstr>
  </property>
</Properties>
</file>